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Self-Assessment Checklist</w:t>
      </w:r>
    </w:p>
    <w:p>
      <w:r>
        <w:rPr>
          <w:rFonts w:ascii="Arial" w:hAnsi="Arial"/>
          <w:b w:val="0"/>
          <w:i/>
          <w:color w:val="54605A"/>
          <w:sz w:val="21"/>
        </w:rPr>
        <w:t>A five-minute sanity check. Tick what's genuinely in place. The gaps are next quarter's agenda — not a source of shame.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BRONZE — the foundation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Individual logins for every person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MFA on all email accounts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Firewall and antivirus in place, reviewed regularly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Auto-updates enabled across devices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Backups running daily, with an offline/isolated copy, tested quarterly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Strong passphrases / a password manager in use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IT support you can call, and a second person who can get in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SILVER — the operational layer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Individual user accounts across all systems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Password manager deployed for the team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MFA on business apps, not just email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Admin rights removed from everyday accounts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Payment / invoice verification policy in place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SPF, DKIM and DMARC set on your domain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Written cyber policies staff have seen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GOLD — resilience &amp; review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Documented incident response plan (naming who decides)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Cyber insurance aligned to your controls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Digital asset register maintained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Ongoing staff awareness + annual policy review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AI usage policy on the wall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EDR on devices; DMARC at quarantine or reject</w:t>
      </w:r>
    </w:p>
    <w:p>
      <w:r>
        <w:rPr>
          <w:rFonts w:ascii="Arial" w:hAnsi="Arial"/>
          <w:b w:val="0"/>
          <w:i w:val="0"/>
          <w:color w:val="2F6B53"/>
          <w:sz w:val="22"/>
        </w:rPr>
        <w:t xml:space="preserve">☐  </w:t>
      </w:r>
      <w:r>
        <w:rPr>
          <w:rFonts w:ascii="Arial" w:hAnsi="Arial"/>
          <w:b w:val="0"/>
          <w:i w:val="0"/>
          <w:color w:val="1E2A23"/>
          <w:sz w:val="21"/>
        </w:rPr>
        <w:t>Quarterly cyber review actually happening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