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54605A"/>
          <w:sz w:val="18"/>
        </w:rPr>
        <w:t>Template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Quarterly Cyber Review Agenda</w:t>
      </w:r>
    </w:p>
    <w:p>
      <w:r>
        <w:rPr>
          <w:rFonts w:ascii="Arial" w:hAnsi="Arial"/>
          <w:b w:val="0"/>
          <w:i/>
          <w:color w:val="54605A"/>
          <w:sz w:val="21"/>
        </w:rPr>
        <w:t>30 minutes · quarterly · owner or owner + IT provider. Treat it like a BAS date.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1. Accounts &amp; Access (5 min)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Any staff joins or departures? Accounts created/removed promptly?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MFA enabled for all current staff?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Any shared logins still in use?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2. Backups &amp; Recovery (5 min)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Backups running successfully?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Last restore test — when, and what was restored?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Any new critical data not yet covered?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3. Updates &amp; Devices (5 min)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All devices on current OS/software versions?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Any old or unmanaged devices in use?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Router/firewall firmware checked?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4. Incidents &amp; Near Misses (5 min)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Any suspicious emails, login alerts or unusual activity?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Any staff report a click or mistake? (No blame.)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Any breach notifications received?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5. Risk Register Review (5 min)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Any risks closed or resolved?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Any new risks to add?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Any business changes that change the risk picture?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6. Actions &amp; Owner (5 min)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List no more than three actions.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Name an owner and a deadline for each.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Date the review and file it.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Review date: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   Attendees: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