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Payment Authority Matrix</w:t>
      </w:r>
    </w:p>
    <w:p>
      <w:r>
        <w:rPr>
          <w:rFonts w:ascii="Arial" w:hAnsi="Arial"/>
          <w:b w:val="0"/>
          <w:i/>
          <w:color w:val="54605A"/>
          <w:sz w:val="21"/>
        </w:rPr>
        <w:t>Print it, fill in names, get staff to sign, keep it near the payments terminal.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12"/>
        <w:gridCol w:w="2412"/>
        <w:gridCol w:w="2412"/>
        <w:gridCol w:w="2412"/>
      </w:tblGrid>
      <w:tr>
        <w:tc>
          <w:tcPr>
            <w:tcW w:type="dxa" w:w="2412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Payment type / value</w:t>
            </w:r>
          </w:p>
        </w:tc>
        <w:tc>
          <w:tcPr>
            <w:tcW w:type="dxa" w:w="2412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Who can initiate</w:t>
            </w:r>
          </w:p>
        </w:tc>
        <w:tc>
          <w:tcPr>
            <w:tcW w:type="dxa" w:w="2412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Who must approve</w:t>
            </w:r>
          </w:p>
        </w:tc>
        <w:tc>
          <w:tcPr>
            <w:tcW w:type="dxa" w:w="2412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Verification required</w:t>
            </w:r>
          </w:p>
        </w:tc>
      </w:tr>
      <w:tr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Routine supplier &lt; $2,000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Any authorised staff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Team leader / manager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Invoice on file</w:t>
            </w:r>
          </w:p>
        </w:tc>
      </w:tr>
      <w:tr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$2,001 – $10,000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Finance / admin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Business owner / director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Invoice + verbal confirm</w:t>
            </w:r>
          </w:p>
        </w:tc>
      </w:tr>
      <w:tr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$10,001 – $50,000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Finance / admin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Two directors / owners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Invoice + phone confirm to known number</w:t>
            </w:r>
          </w:p>
        </w:tc>
      </w:tr>
      <w:tr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Any NEW payee (any amount)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Finance / admin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Business owner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Phone verify using existing contact — not from email</w:t>
            </w:r>
          </w:p>
        </w:tc>
      </w:tr>
      <w:tr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ANY bank-detail change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Do not process from email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Owner + second person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Phone call to known number; written record</w:t>
            </w:r>
          </w:p>
        </w:tc>
      </w:tr>
      <w:tr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Urgent / after-hours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PAUSE — do not process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Owner</w:t>
            </w:r>
          </w:p>
        </w:tc>
        <w:tc>
          <w:tcPr>
            <w:tcW w:type="dxa" w:w="2412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Verify next business day; urgency is a red flag</w:t>
            </w:r>
          </w:p>
        </w:tc>
      </w:tr>
    </w:tbl>
    <w:p>
      <w:r>
        <w:rPr>
          <w:rFonts w:ascii="Arial" w:hAnsi="Arial"/>
          <w:b w:val="0"/>
          <w:i/>
          <w:color w:val="1E2A23"/>
          <w:sz w:val="21"/>
        </w:rPr>
        <w:t>Thresholds are a starting point — adjust to your business, but write them down and don't allow them to be bypassed under pressure.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Sign-off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Names entered by: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Date: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