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Delegation Checklist</w:t>
      </w:r>
    </w:p>
    <w:p>
      <w:r>
        <w:rPr>
          <w:rFonts w:ascii="Arial" w:hAnsi="Arial"/>
          <w:b w:val="0"/>
          <w:i/>
          <w:color w:val="54605A"/>
          <w:sz w:val="21"/>
        </w:rPr>
        <w:t>Assess and document your payment authority. Review annually or whenever the team changes.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Question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What to check</w:t>
            </w:r>
          </w:p>
        </w:tc>
        <w:tc>
          <w:tcPr>
            <w:tcW w:type="dxa" w:w="3216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Done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Who can approve payments under $2,000?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Name &amp; role defined?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Who can approve $2,001–$10,000?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Name &amp; role defined?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Who can approve over $10,000?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Two people required?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Who can add a new payee?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Restricted to owner/finance?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Who can change a supplier's bank details?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Two-person sign-off?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Cover person if the owner is unavailable?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Documented?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Payment staff trained on BEC fraud?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Completed &amp; dated?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Is there a 'no urgency override' rule?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Staff know urgent = red flag?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Are payment records retained for review?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30-day minimum?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  <w:tr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When was the protocol last tested?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Tested in last 6 months?</w:t>
            </w:r>
          </w:p>
        </w:tc>
        <w:tc>
          <w:tcPr>
            <w:tcW w:type="dxa" w:w="3216"/>
          </w:tcPr>
          <w:p>
            <w:r>
              <w:rPr>
                <w:rFonts w:ascii="Arial" w:hAnsi="Arial"/>
                <w:b w:val="0"/>
                <w:i w:val="0"/>
                <w:color w:val="1E2A23"/>
                <w:sz w:val="19"/>
              </w:rPr>
              <w:t>☐</w:t>
            </w:r>
          </w:p>
        </w:tc>
      </w:tr>
    </w:tbl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